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dobe Arabic" w:cs="Adobe Arabic" w:eastAsia="Adobe Arabic" w:hAnsi="Adobe Arab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564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3510"/>
        <w:gridCol w:w="3402"/>
        <w:gridCol w:w="3686"/>
        <w:gridCol w:w="3685"/>
        <w:gridCol w:w="3544"/>
        <w:gridCol w:w="3402"/>
        <w:tblGridChange w:id="0">
          <w:tblGrid>
            <w:gridCol w:w="1335"/>
            <w:gridCol w:w="3510"/>
            <w:gridCol w:w="3402"/>
            <w:gridCol w:w="3686"/>
            <w:gridCol w:w="3685"/>
            <w:gridCol w:w="3544"/>
            <w:gridCol w:w="340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Summer 2 </w:t>
            </w:r>
          </w:p>
        </w:tc>
      </w:tr>
      <w:tr>
        <w:trPr>
          <w:trHeight w:val="800" w:hRule="atLeast"/>
        </w:trPr>
        <w:tc>
          <w:tcPr>
            <w:vMerge w:val="restart"/>
            <w:shd w:fill="ffff00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Year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Topic: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Empowerment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Topic: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Empowerment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Topic: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Empowerment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Topic: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Empowerment Curriculum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Topic: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Empowerment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Empowerment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Rationale of Learning: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give the students a choice in developing their motivation, leadership, performance, problem solving/OAA and self-belief through engaging PE lessons. Students can opt to follow one of the following pathways: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Rationale of Learning: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give the students a choice in developing their motivation, leadership, performance, problem solving/OAA and self-belief through engaging PE lessons. Students can opt to follow one of the following pathways: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Rationale of Learning: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give the students a choice in developing their motivation, leadership, performance, problem solving/OAA and self-belief through engaging PE lessons. Students can opt to follow one of the following pathways: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Rationale of Learning: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give the students a choice in developing their motivation, leadership, performance, problem solving/OAA and self-belief through engaging PE lessons. Students can opt to follow one of the following pathways: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Rationale of Learning: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give the students a choice in developing their motivation, leadership, performance, problem solving/OAA and self-belief through engaging PE lessons. Students can opt to follow one of the following pathways: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Rationale of Learning: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give the students a choice in developing their motivation, leadership, performance, problem solving/OAA and self-belief through engaging PE lessons. Students can opt to follow one of the following pathways: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0" w:hRule="atLeast"/>
        </w:trPr>
        <w:tc>
          <w:tcPr>
            <w:vMerge w:val="continue"/>
            <w:shd w:fill="ffff00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51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Performance- Football/Rugby/Handball/Hockey/Netball/ Basketball/ Table Tennis/Badminton/ Fitness</w:t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Leadership- Roles and Responsibilities of a sports leader. </w:t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Edinburgh- </w:t>
            </w:r>
          </w:p>
          <w:p w:rsidR="00000000" w:rsidDel="00000000" w:rsidP="00000000" w:rsidRDefault="00000000" w:rsidRPr="00000000" w14:paraId="00000057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Volunteering Section- Students will cook for the homeless and complete a litter pick of the school site and read with primary school students. </w:t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Creative- Trampolining </w:t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Active-  WGSG Rugby </w:t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Performance- Football/Rugby/Handball/Hockey/Netball/ Basketball/ Table Tennis/Badminton/Fitness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Leadership- What a good leader looks like?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 (Physical)-  Students developing their personal fitness through goal setting and a personalised training programme.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Creative-  Gymnastics 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Active- Healthy Me- Fitness</w:t>
            </w:r>
          </w:p>
          <w:p w:rsidR="00000000" w:rsidDel="00000000" w:rsidP="00000000" w:rsidRDefault="00000000" w:rsidRPr="00000000" w14:paraId="0000006C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Performance- Football/Rugby/Handball/Hockey/Netball/ Basketball/ Table Tennis/Badminton/Fitness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Leadership- Planning and structuring a sports activity session. 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 (Physical)-  Students developing a new skill of bouldering. 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Creative-  Fitness/Badminton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Active-  Trampolining 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Performance- Football/Rugby/Handball/Hockey/Netball/ Basketball/ Table Tennis/Badminton/Fitness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Leadership-  Delivering a sports activity session. 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 (Games)- Students to take part in a range of sporting activities to further develop their physical abilities. 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Creative-  Cycling 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Active-  Sports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Performance- Athletics/ Rounders/Cricket/ Ultimate Frisbee/Softball 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Leadership-  Rugby leaders level 1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 (Expedition Training). Students to learn the new skills required for their expedition. These include putting up tents/rucksacks/first aid and map reading. 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Creative-  Rounders 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Active-  Rounders 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Activities: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Performance- Athletics/ Rounders/Cricket/ Ultimate Frisbee/Softball 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Sports Leadership- Rounders ready leadership course. 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Duke of Edinburgh (Expedition Training). Students to learn the new skills required for their expedition. Students will also upload their evidence.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Creative- Dance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Girls Active-  Active walking- how to keep yourself active.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Adobe Arabic" w:cs="Adobe Arabic" w:eastAsia="Adobe Arabic" w:hAnsi="Adobe Arab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9" w:w="23814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Arial"/>
  <w:font w:name="Adobe Arab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MCA</w:t>
    </w: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 Physical Education Department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: Long Term Plan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12835890</wp:posOffset>
          </wp:positionH>
          <wp:positionV relativeFrom="paragraph">
            <wp:posOffset>-363854</wp:posOffset>
          </wp:positionV>
          <wp:extent cx="1371600" cy="796702"/>
          <wp:effectExtent b="0" l="0" r="0" t="0"/>
          <wp:wrapSquare wrapText="bothSides" distB="0" distT="0" distL="0" distR="0"/>
          <wp:docPr descr="MCA LETTER" id="1" name="image1.jpg"/>
          <a:graphic>
            <a:graphicData uri="http://schemas.openxmlformats.org/drawingml/2006/picture">
              <pic:pic>
                <pic:nvPicPr>
                  <pic:cNvPr descr="MCA LETTER" id="0" name="image1.jpg"/>
                  <pic:cNvPicPr preferRelativeResize="0"/>
                </pic:nvPicPr>
                <pic:blipFill>
                  <a:blip r:embed="rId1"/>
                  <a:srcRect b="0" l="70154" r="1365" t="10352"/>
                  <a:stretch>
                    <a:fillRect/>
                  </a:stretch>
                </pic:blipFill>
                <pic:spPr>
                  <a:xfrm>
                    <a:off x="0" y="0"/>
                    <a:ext cx="1371600" cy="7967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